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0E14" w14:textId="77777777" w:rsidR="00224BDF" w:rsidRDefault="00897AB5">
      <w:pPr>
        <w:pStyle w:val="Titre1"/>
        <w:jc w:val="center"/>
        <w:rPr>
          <w:rFonts w:cstheme="minorHAnsi"/>
          <w:b w:val="0"/>
          <w:bCs/>
          <w:sz w:val="32"/>
        </w:rPr>
      </w:pPr>
      <w:r>
        <w:rPr>
          <w:rFonts w:cstheme="minorHAnsi"/>
          <w:bCs/>
          <w:sz w:val="32"/>
        </w:rPr>
        <w:t>meilleures pratiques</w:t>
      </w:r>
    </w:p>
    <w:p w14:paraId="4B90001D" w14:textId="77777777" w:rsidR="00C86B99" w:rsidRPr="00C86A79" w:rsidRDefault="00C86B99" w:rsidP="00C86B99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86B99" w:rsidRPr="006601CE" w14:paraId="21F31D41" w14:textId="77777777" w:rsidTr="000651FA">
        <w:trPr>
          <w:trHeight w:val="340"/>
        </w:trPr>
        <w:tc>
          <w:tcPr>
            <w:tcW w:w="9351" w:type="dxa"/>
            <w:shd w:val="clear" w:color="auto" w:fill="19323B"/>
            <w:vAlign w:val="center"/>
          </w:tcPr>
          <w:p w14:paraId="6E61331F" w14:textId="77777777" w:rsidR="00224BDF" w:rsidRDefault="00897A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41A4">
              <w:rPr>
                <w:rFonts w:asciiTheme="minorHAnsi" w:hAnsiTheme="minorHAnsi" w:cstheme="minorHAnsi"/>
                <w:b/>
                <w:bCs/>
              </w:rPr>
              <w:t>Gouvernance</w:t>
            </w:r>
          </w:p>
        </w:tc>
      </w:tr>
      <w:tr w:rsidR="00C86B99" w:rsidRPr="006246D6" w14:paraId="72318138" w14:textId="77777777" w:rsidTr="000651FA">
        <w:tc>
          <w:tcPr>
            <w:tcW w:w="9351" w:type="dxa"/>
          </w:tcPr>
          <w:p w14:paraId="06B61D29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Document de gouvernance </w:t>
            </w:r>
          </w:p>
          <w:p w14:paraId="13895981" w14:textId="37E68648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La position de l'organisation sur de nombreux aspects de la gestion des risques liés aux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voyages </w:t>
            </w:r>
            <w:proofErr w:type="gramStart"/>
            <w:r w:rsidRPr="00B753A6">
              <w:rPr>
                <w:rFonts w:cstheme="majorHAnsi"/>
                <w:sz w:val="20"/>
                <w:szCs w:val="20"/>
                <w:lang w:val="fr-CA"/>
              </w:rPr>
              <w:t>doit</w:t>
            </w:r>
            <w:proofErr w:type="gramEnd"/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être clairement définie dans un document. Toutes ces décisions déterminent </w:t>
            </w:r>
            <w:r w:rsidR="00B753A6" w:rsidRPr="00B753A6">
              <w:rPr>
                <w:rFonts w:cstheme="majorHAnsi"/>
                <w:sz w:val="20"/>
                <w:szCs w:val="20"/>
                <w:lang w:val="fr-CA"/>
              </w:rPr>
              <w:t>l</w:t>
            </w:r>
            <w:r w:rsidR="00B753A6">
              <w:rPr>
                <w:rFonts w:cstheme="majorHAnsi"/>
                <w:sz w:val="20"/>
                <w:szCs w:val="20"/>
                <w:lang w:val="fr-CA"/>
              </w:rPr>
              <w:t>’appétit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au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risque de l'organisation et les diverses mesures préventives, les procédures de gestion des risques et les protocoles à mettre en œuvre pour répondre aux exige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nces de diligence raisonnable imposées par la législation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et mettre en œuvre les meilleures pratiques proposées par la norme ISO31030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. </w:t>
            </w:r>
          </w:p>
          <w:p w14:paraId="173B78C4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5F94B4F1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Voici quelques éléments à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prendre en compte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:</w:t>
            </w:r>
          </w:p>
          <w:p w14:paraId="66EE752A" w14:textId="37A6AD0D" w:rsidR="00224BDF" w:rsidRPr="00B753A6" w:rsidRDefault="00897AB5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Diligence raisonnable, responsabilité individuelle et </w:t>
            </w:r>
            <w:r w:rsidR="00B753A6">
              <w:rPr>
                <w:rFonts w:cstheme="majorHAnsi"/>
                <w:sz w:val="20"/>
                <w:szCs w:val="20"/>
                <w:lang w:val="fr-CA"/>
              </w:rPr>
              <w:t>appétit a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u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risque.</w:t>
            </w:r>
          </w:p>
          <w:p w14:paraId="6511B083" w14:textId="77777777" w:rsidR="00224BDF" w:rsidRPr="00B753A6" w:rsidRDefault="00897AB5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Approches de la gestion de la sécurité et circonstances d'application.</w:t>
            </w:r>
          </w:p>
          <w:p w14:paraId="72AD6CC6" w14:textId="4B730F4C" w:rsidR="00224BDF" w:rsidRPr="00B753A6" w:rsidRDefault="00B753A6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cstheme="majorHAnsi"/>
                <w:sz w:val="20"/>
                <w:szCs w:val="20"/>
                <w:lang w:val="fr-CA"/>
              </w:rPr>
            </w:pPr>
            <w:r>
              <w:rPr>
                <w:rFonts w:cstheme="majorHAnsi"/>
                <w:sz w:val="20"/>
                <w:szCs w:val="20"/>
                <w:lang w:val="fr-CA"/>
              </w:rPr>
              <w:t>C</w:t>
            </w:r>
            <w:r w:rsidR="00897AB5" w:rsidRPr="00B753A6">
              <w:rPr>
                <w:rFonts w:cstheme="majorHAnsi"/>
                <w:sz w:val="20"/>
                <w:szCs w:val="20"/>
                <w:lang w:val="fr-CA"/>
              </w:rPr>
              <w:t xml:space="preserve">ommunications, y compris l'utilisation des médias sociaux. </w:t>
            </w:r>
          </w:p>
          <w:p w14:paraId="0232EA4F" w14:textId="77777777" w:rsidR="00224BDF" w:rsidRPr="00B753A6" w:rsidRDefault="00897AB5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Positionnement sur le harcèlement et la discrimina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tion adapté au contexte des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voyages.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 </w:t>
            </w:r>
          </w:p>
          <w:p w14:paraId="76538E45" w14:textId="77777777" w:rsidR="00224BDF" w:rsidRPr="00B753A6" w:rsidRDefault="00897AB5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Le processus de sélection des parties prenantes.  </w:t>
            </w:r>
          </w:p>
          <w:p w14:paraId="7E85E866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1261AF0A" w14:textId="77777777" w:rsidTr="000651FA">
        <w:trPr>
          <w:trHeight w:val="340"/>
        </w:trPr>
        <w:tc>
          <w:tcPr>
            <w:tcW w:w="9351" w:type="dxa"/>
            <w:tcBorders>
              <w:left w:val="nil"/>
              <w:right w:val="nil"/>
            </w:tcBorders>
            <w:shd w:val="clear" w:color="auto" w:fill="auto"/>
          </w:tcPr>
          <w:p w14:paraId="70373E65" w14:textId="77777777" w:rsidR="00C86B99" w:rsidRPr="00B753A6" w:rsidRDefault="00C86B99" w:rsidP="000651FA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C86B99" w:rsidRPr="006601CE" w14:paraId="2C9F0495" w14:textId="77777777" w:rsidTr="000651FA">
        <w:trPr>
          <w:trHeight w:val="340"/>
        </w:trPr>
        <w:tc>
          <w:tcPr>
            <w:tcW w:w="9351" w:type="dxa"/>
            <w:shd w:val="clear" w:color="auto" w:fill="19323B"/>
          </w:tcPr>
          <w:p w14:paraId="4884E055" w14:textId="77777777" w:rsidR="00224BDF" w:rsidRDefault="00897A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41A4">
              <w:rPr>
                <w:rFonts w:asciiTheme="minorHAnsi" w:hAnsiTheme="minorHAnsi" w:cstheme="minorHAnsi"/>
                <w:b/>
                <w:bCs/>
              </w:rPr>
              <w:t>La prévention</w:t>
            </w:r>
          </w:p>
        </w:tc>
      </w:tr>
      <w:tr w:rsidR="00C86B99" w:rsidRPr="006246D6" w14:paraId="75FE1D31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6B7F8A97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Processus de développement des activités</w:t>
            </w:r>
          </w:p>
          <w:p w14:paraId="16F4A11E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L'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organisation doit disposer d'un processus clair d'élaboration des projets internationaux </w:t>
            </w:r>
            <w:r w:rsidRPr="00B753A6">
              <w:rPr>
                <w:rStyle w:val="tlid-translation"/>
                <w:bCs/>
                <w:sz w:val="20"/>
                <w:szCs w:val="20"/>
                <w:lang w:val="fr-CA"/>
              </w:rPr>
              <w:t xml:space="preserve">et d'approbation des voyages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qui comprend, entre autres, un examen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de leur contexte en matière de </w:t>
            </w:r>
            <w:r w:rsidRPr="00B753A6">
              <w:rPr>
                <w:rStyle w:val="tlid-translation"/>
                <w:bCs/>
                <w:sz w:val="20"/>
                <w:szCs w:val="20"/>
                <w:lang w:val="fr-CA"/>
              </w:rPr>
              <w:t xml:space="preserve">santé, de sécurité et de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sûreté.</w:t>
            </w:r>
          </w:p>
          <w:p w14:paraId="41D5C2DB" w14:textId="77777777" w:rsidR="00C86B99" w:rsidRPr="00B753A6" w:rsidRDefault="00C86B99" w:rsidP="000651FA">
            <w:pPr>
              <w:rPr>
                <w:i/>
                <w:iCs/>
                <w:sz w:val="20"/>
                <w:szCs w:val="20"/>
                <w:lang w:val="fr-CA"/>
              </w:rPr>
            </w:pPr>
          </w:p>
          <w:p w14:paraId="40A125EC" w14:textId="1525FD56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Le processus doit comprendre une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év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aluation des risques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, c'est-à-dire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un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recensement des informations permettant d'approuver </w:t>
            </w:r>
            <w:r w:rsid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l</w:t>
            </w:r>
            <w:r w:rsidR="00B753A6"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e</w:t>
            </w:r>
            <w:r w:rsid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B753A6"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vo</w:t>
            </w:r>
            <w:r w:rsid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y</w:t>
            </w:r>
            <w:r w:rsidR="00B753A6"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a</w:t>
            </w:r>
            <w:r w:rsid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g</w:t>
            </w:r>
            <w:r w:rsidR="00B753A6"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e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>, tout en tenant compte de l</w:t>
            </w:r>
            <w:r w:rsid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’appétit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au </w:t>
            </w:r>
            <w:r w:rsidRPr="00B753A6">
              <w:rPr>
                <w:rStyle w:val="tlid-translation"/>
                <w:rFonts w:cstheme="majorHAnsi"/>
                <w:bCs/>
                <w:sz w:val="20"/>
                <w:szCs w:val="20"/>
                <w:lang w:val="fr-CA"/>
              </w:rPr>
              <w:t xml:space="preserve">risque de l'organisation. C'est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à partir de ces informations qu'il est possible d'évaluer objectivement la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sécurité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et donc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la possibilité d'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organiser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ou non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un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dans un pays ou une région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.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Pour être complète,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l'évaluation doit comprendre une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compréhension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du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contexte général, puis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une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analyse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des risques liés aux activités </w:t>
            </w:r>
            <w:r w:rsidR="00AF7747" w:rsidRPr="00AF7747">
              <w:rPr>
                <w:rFonts w:cstheme="majorHAnsi"/>
                <w:sz w:val="20"/>
                <w:szCs w:val="20"/>
                <w:lang w:val="fr-CA"/>
              </w:rPr>
              <w:t>p</w:t>
            </w:r>
            <w:r w:rsidR="00AF7747" w:rsidRPr="00AF7747">
              <w:rPr>
                <w:sz w:val="20"/>
                <w:szCs w:val="20"/>
                <w:lang w:val="fr-CA"/>
              </w:rPr>
              <w:t>oursuivie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s à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destination et prendre en compte les vulnérabilités des </w:t>
            </w:r>
            <w:r w:rsidR="00AF7747" w:rsidRPr="00AF7747">
              <w:rPr>
                <w:rFonts w:cstheme="majorHAnsi"/>
                <w:sz w:val="20"/>
                <w:szCs w:val="20"/>
                <w:lang w:val="fr-CA"/>
              </w:rPr>
              <w:t>p</w:t>
            </w:r>
            <w:r w:rsidR="00AF7747" w:rsidRPr="00AF7747">
              <w:rPr>
                <w:sz w:val="20"/>
                <w:szCs w:val="20"/>
                <w:lang w:val="fr-CA"/>
              </w:rPr>
              <w:t>ersonnes qui voyagent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. </w:t>
            </w:r>
            <w:r w:rsidRPr="00AF7747">
              <w:rPr>
                <w:rFonts w:eastAsia="Times New Roman" w:cstheme="majorHAnsi"/>
                <w:sz w:val="20"/>
                <w:szCs w:val="20"/>
                <w:lang w:val="fr-CA" w:eastAsia="fr-CA"/>
              </w:rPr>
              <w:t>Pour que cette analyse réponde aux meilleures pratiques en matière de gestion des risques, elle doit inclure</w:t>
            </w:r>
            <w:r w:rsidRPr="00B753A6">
              <w:rPr>
                <w:rFonts w:eastAsia="Times New Roman" w:cstheme="majorHAnsi"/>
                <w:sz w:val="20"/>
                <w:szCs w:val="20"/>
                <w:lang w:val="fr-CA" w:eastAsia="fr-CA"/>
              </w:rPr>
              <w:t xml:space="preserve"> une visite sur le terrain.</w:t>
            </w:r>
          </w:p>
          <w:p w14:paraId="0138AAD3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1354085B" w14:textId="77777777" w:rsidTr="000651FA">
        <w:tc>
          <w:tcPr>
            <w:tcW w:w="9351" w:type="dxa"/>
          </w:tcPr>
          <w:p w14:paraId="30B2D804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Processus de sélection des partenaires </w:t>
            </w:r>
          </w:p>
          <w:p w14:paraId="5815D02B" w14:textId="31FB4A4F" w:rsidR="00224BDF" w:rsidRPr="00AF7747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Il convient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d'établir un processus défini dans lequel les critères spécifiques requis par l'organisation sont indiqués.  La responsabilité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>de la sélection des partenaires doit incomber à une personne ou à un groupe compétent et désigné. La mise en place d'un mécanism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e d'approbation assorti de critères exhaustifs concernant la santé et la sécurité 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>d</w:t>
            </w:r>
            <w:r w:rsidR="00AF7747" w:rsidRPr="00AF7747">
              <w:rPr>
                <w:rFonts w:cstheme="majorHAnsi"/>
                <w:sz w:val="20"/>
                <w:szCs w:val="20"/>
                <w:lang w:val="fr-CA"/>
              </w:rPr>
              <w:t>e</w:t>
            </w:r>
            <w:r w:rsidR="00AF7747" w:rsidRPr="00AF7747">
              <w:rPr>
                <w:sz w:val="20"/>
                <w:szCs w:val="20"/>
                <w:lang w:val="fr-CA"/>
              </w:rPr>
              <w:t>s personnes qui voyagent</w:t>
            </w:r>
            <w:r w:rsidRPr="00AF7747">
              <w:rPr>
                <w:rFonts w:cstheme="majorHAnsi"/>
                <w:sz w:val="20"/>
                <w:szCs w:val="20"/>
                <w:lang w:val="fr-CA"/>
              </w:rPr>
              <w:t xml:space="preserve"> est une pratique à encourager.  </w:t>
            </w:r>
          </w:p>
          <w:p w14:paraId="57DFDCBC" w14:textId="77777777" w:rsidR="00C86B99" w:rsidRPr="00AF7747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4223ED57" w14:textId="19B5EB46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AF7747">
              <w:rPr>
                <w:rFonts w:cstheme="majorHAnsi"/>
                <w:sz w:val="20"/>
                <w:szCs w:val="20"/>
                <w:lang w:val="fr-CA"/>
              </w:rPr>
              <w:t>Le processus de sélection doit prendre en compte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compétences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du partenaire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pour contribuer à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la sécurité </w:t>
            </w:r>
            <w:r w:rsidR="00AF7747">
              <w:rPr>
                <w:rFonts w:cstheme="majorHAnsi"/>
                <w:sz w:val="20"/>
                <w:szCs w:val="20"/>
                <w:lang w:val="fr-CA"/>
              </w:rPr>
              <w:t>du voyage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et sa capacité à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réagir de manière appropriée à une crise et, par conséquent, sa capacité à contribuer à sa résolution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 Bien que l'organisation soit convaincue que ses partenaires sont en mesure de prévenir et de gérer une crise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, des preuves concernant des éléments spécifiques doivent le démontrer (processus de sélection et d'évaluation).</w:t>
            </w:r>
          </w:p>
          <w:p w14:paraId="775502A9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4DD17391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19D14162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Processus de sélection des ressources humaines </w:t>
            </w:r>
          </w:p>
          <w:p w14:paraId="0BC61A88" w14:textId="7E909A6F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Un processus de sélection devrait permettre d'identifier à l'avance les vulnérabilités, les conditions préexistantes, les intentions ou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comportements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potentiellement nuisibles ou dangereux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des </w:t>
            </w:r>
            <w:r w:rsidR="00AF7747">
              <w:rPr>
                <w:rFonts w:cstheme="majorHAnsi"/>
                <w:sz w:val="20"/>
                <w:szCs w:val="20"/>
                <w:lang w:val="fr-CA"/>
              </w:rPr>
              <w:t xml:space="preserve">personnes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qui pourraient </w:t>
            </w:r>
            <w:proofErr w:type="gramStart"/>
            <w:r w:rsidRPr="00B753A6">
              <w:rPr>
                <w:rFonts w:cstheme="majorHAnsi"/>
                <w:sz w:val="20"/>
                <w:szCs w:val="20"/>
                <w:lang w:val="fr-CA"/>
              </w:rPr>
              <w:t>avoir</w:t>
            </w:r>
            <w:proofErr w:type="gramEnd"/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une influence négative sur le déroulement du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voyage. 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 doit sélectionner ses ressources humaines sur la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base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critères liés à leurs rôles et responsabilités ainsi qu'au cadre spécifique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l'activité.</w:t>
            </w:r>
          </w:p>
          <w:p w14:paraId="445D63FB" w14:textId="1C5B7981" w:rsidR="00C86B99" w:rsidRPr="00B753A6" w:rsidRDefault="00897AB5" w:rsidP="007D1510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lastRenderedPageBreak/>
              <w:t>L'organisation doi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t se réserver le droit de refuser la participation d'une personne ou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la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retirer d'une activité en cours pour des raisons légitimes telles que son état de santé, ses problèmes de comportement, son casier judiciaire ou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d'autres facteurs de vulnérabilité 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usceptibles de compromettre sa santé</w:t>
            </w:r>
            <w:r w:rsidR="00AF7747">
              <w:rPr>
                <w:rFonts w:cstheme="majorHAnsi"/>
                <w:sz w:val="20"/>
                <w:szCs w:val="20"/>
                <w:lang w:val="fr-CA"/>
              </w:rPr>
              <w:t xml:space="preserve"> et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sa sécurité ou celles des personnes qui voyagent avec elle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</w:p>
        </w:tc>
      </w:tr>
      <w:tr w:rsidR="00C86B99" w:rsidRPr="006246D6" w14:paraId="77158276" w14:textId="77777777" w:rsidTr="000651FA">
        <w:tc>
          <w:tcPr>
            <w:tcW w:w="9351" w:type="dxa"/>
          </w:tcPr>
          <w:p w14:paraId="774B6447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lastRenderedPageBreak/>
              <w:t>Processus médical</w:t>
            </w:r>
          </w:p>
          <w:p w14:paraId="2252F97F" w14:textId="1E0CBD56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Une procédure médicale devrait être définie pour s'assurer que les </w:t>
            </w:r>
            <w:r w:rsidR="007D1510">
              <w:rPr>
                <w:rFonts w:cstheme="majorHAnsi"/>
                <w:sz w:val="20"/>
                <w:szCs w:val="20"/>
                <w:lang w:val="fr-CA"/>
              </w:rPr>
              <w:t xml:space="preserve">personnes qui voyagent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sont en assez bonne santé pour participer à un v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oyage où les conditions sanitaires sont différentes de celles du Canada. </w:t>
            </w:r>
          </w:p>
          <w:p w14:paraId="643A40CC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29D4ACC6" w14:textId="69C85778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L'organisation devrait également se positionner sur la vaccination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, notamment en ce qui concerne les vaccins hautement recommandés mais non obligatoires.  </w:t>
            </w:r>
          </w:p>
          <w:p w14:paraId="5EF4F986" w14:textId="77777777" w:rsidR="00C86B99" w:rsidRPr="00B753A6" w:rsidRDefault="00C86B99" w:rsidP="000651FA">
            <w:pPr>
              <w:rPr>
                <w:rFonts w:cstheme="majorHAnsi"/>
                <w:color w:val="4472C4" w:themeColor="accent1"/>
                <w:sz w:val="20"/>
                <w:szCs w:val="20"/>
                <w:lang w:val="fr-CA"/>
              </w:rPr>
            </w:pPr>
          </w:p>
        </w:tc>
      </w:tr>
      <w:tr w:rsidR="00C86B99" w:rsidRPr="006246D6" w14:paraId="5EF35E01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0F3AE194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Sensibili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sation et formation</w:t>
            </w:r>
          </w:p>
          <w:p w14:paraId="60ECB637" w14:textId="40BC89CB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Les </w:t>
            </w:r>
            <w:r w:rsidR="007D1510">
              <w:rPr>
                <w:rFonts w:cstheme="majorHAnsi"/>
                <w:sz w:val="20"/>
                <w:szCs w:val="20"/>
                <w:lang w:val="fr-CA"/>
              </w:rPr>
              <w:t>personnes qui voyagent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devraient suivre une ou plusieurs formations avant le départ afin de couvrir tous les sujets nécessaires à leur préparation. La formation devrait porter sur la destination,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comportements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préventifs, les consignes de sé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curité,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vulnérabilités individuelles, la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vie interculturelle et la vie en groupe. Elle devrait fournir des informations sur les risques associés aux séjours à l'étranger, sensibiliser les 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 xml:space="preserve">participantes et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participants et les rendre responsables de leur santé et de leur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sécurité. </w:t>
            </w:r>
          </w:p>
          <w:p w14:paraId="741758CF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3EB6EE91" w14:textId="1BFF15E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Une formation supplémentaire à la sécurité devrait être dispensée par le partenaire à l'arrivée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à destination. Le partenaire est le mieux placé pour montrer les réalités du terrain et présenter les questions de sécurité.</w:t>
            </w:r>
          </w:p>
          <w:p w14:paraId="0AEB03C6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74FC8743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Une formation devrait être dispensée pour maintenir ou accroître les capacités du personnel chargé de superviser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au Canada.</w:t>
            </w:r>
          </w:p>
          <w:p w14:paraId="16DE085C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2ED5938B" w14:textId="77777777" w:rsidTr="000651FA">
        <w:tc>
          <w:tcPr>
            <w:tcW w:w="9351" w:type="dxa"/>
          </w:tcPr>
          <w:p w14:paraId="396A2920" w14:textId="77777777" w:rsidR="00224BDF" w:rsidRPr="00B753A6" w:rsidRDefault="00897AB5">
            <w:pPr>
              <w:rPr>
                <w:rFonts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Reconnaissance des rôles et des responsabilités</w:t>
            </w:r>
          </w:p>
          <w:p w14:paraId="38B88585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Protocole d'accord de</w:t>
            </w: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 partenariat </w:t>
            </w:r>
          </w:p>
          <w:p w14:paraId="19E71171" w14:textId="42C03219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 doit signer des protocoles d'accord avec chacun de ses partenaires (au Canada et à l'étranger) dans lesquels sont stipulés les rôles et les responsabilités en matière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santé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 xml:space="preserve"> et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sécurité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des 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 xml:space="preserve">personnes qui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voyag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>ent.</w:t>
            </w:r>
          </w:p>
          <w:p w14:paraId="5094D286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785D3A8A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Protocole d'accord su</w:t>
            </w: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r les gens du voyage </w:t>
            </w:r>
          </w:p>
          <w:p w14:paraId="2B9BB47F" w14:textId="294C24E6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Tou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>te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 les 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>personnes qui voyagent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(</w:t>
            </w:r>
            <w:r w:rsidR="0007438D">
              <w:rPr>
                <w:rFonts w:cstheme="majorHAnsi"/>
                <w:sz w:val="20"/>
                <w:szCs w:val="20"/>
                <w:lang w:val="fr-CA"/>
              </w:rPr>
              <w:t>membres du personnel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, guides de groupe,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étudiantes et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étudiants, stagiaires, bénévoles,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 etc.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) doivent être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tenus de signer un contrat définissant le rôle et les responsabilités de chacun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e et chacun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</w:p>
          <w:p w14:paraId="0F68496D" w14:textId="77777777" w:rsidR="00C86B99" w:rsidRPr="00B753A6" w:rsidRDefault="00C86B99" w:rsidP="000651FA">
            <w:pPr>
              <w:rPr>
                <w:rFonts w:cstheme="majorHAnsi"/>
                <w:color w:val="000000"/>
                <w:sz w:val="20"/>
                <w:szCs w:val="20"/>
                <w:lang w:val="fr-CA"/>
              </w:rPr>
            </w:pPr>
          </w:p>
        </w:tc>
      </w:tr>
      <w:tr w:rsidR="00C86B99" w:rsidRPr="006246D6" w14:paraId="590B34D4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528A1722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Procédures administratives</w:t>
            </w:r>
          </w:p>
          <w:p w14:paraId="16A652D0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Consentement éclairé </w:t>
            </w:r>
          </w:p>
          <w:p w14:paraId="05C3B8C7" w14:textId="184C9CD8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L'organisation doit disposer d'un formulaire de consentement éclairé aux risques, clair et complet, que tout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personne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doit signer après avoir suivi une formation avant le départ.</w:t>
            </w:r>
          </w:p>
          <w:p w14:paraId="40945B26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167984C4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Inscription sur le site d'A</w:t>
            </w: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ffaires mondiales Canada </w:t>
            </w:r>
          </w:p>
          <w:p w14:paraId="4EE72360" w14:textId="1463C769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L'inscription au site GAC doit être effectuée avant chaque départ, soit par les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participantes et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participants, soit par l'organisation elle-même. </w:t>
            </w:r>
          </w:p>
          <w:p w14:paraId="1445015B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3651AD9E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Prolongation de </w:t>
            </w: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voyage à des fins personnelles</w:t>
            </w:r>
          </w:p>
          <w:p w14:paraId="767E4AA8" w14:textId="6E55FF0D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 doit disposer d'un document permettant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 prolonger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un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séjour au-delà des dates d'activité sans que l'organisation n'en soit responsable.  </w:t>
            </w:r>
          </w:p>
          <w:p w14:paraId="6602FB13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1B670569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Procédure d'</w:t>
            </w: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accompagnement </w:t>
            </w: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unique</w:t>
            </w:r>
          </w:p>
          <w:p w14:paraId="5A474A23" w14:textId="7505B719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Dans le cas d'un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en groupe où il n'y a qu'u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n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e seule personne accompagnatrice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, un ou plusieurs membres du groupe doivent être identifiés comme ressources en cas de crise pour soutenir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cette personne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ou agir en tant que porte-parole ou chef de groupe au cas où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elle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serait dans l'incapacité de le faire.</w:t>
            </w:r>
          </w:p>
          <w:p w14:paraId="7BF3F501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21BD90BF" w14:textId="77777777" w:rsidTr="000651FA">
        <w:tc>
          <w:tcPr>
            <w:tcW w:w="9351" w:type="dxa"/>
          </w:tcPr>
          <w:p w14:paraId="1DF68076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lastRenderedPageBreak/>
              <w:t xml:space="preserve">Guide de 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sécurité 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pour les pays</w:t>
            </w:r>
          </w:p>
          <w:p w14:paraId="14AAE15F" w14:textId="4B5AE7AA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Pour chacun des pays dans lesquels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voyages ont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lieu, l'organisation devrait élaborer un guide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 sécurité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du pays afin d'identifier les risques présents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à destination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et d'introduire des mesures et des procédures spécifiques avant le départ. Ce document permet, entre autres, de mettre en œuvre les stratégies d'atténuation nécessaires pour respecter l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’appétit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au risque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l'organisation. </w:t>
            </w:r>
          </w:p>
          <w:p w14:paraId="7A94BD52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372FDB64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Le document centralise égal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ement les procédures de communication et les coordonnées des personnes à contacter en cas d'urgence (police, ambassade, pompiers, etc.) en fonction de la destination et de l'activité.</w:t>
            </w:r>
          </w:p>
          <w:p w14:paraId="420054AF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7CD4007E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0066BAB2" w14:textId="28C0260B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Premiers s</w:t>
            </w:r>
            <w:r w:rsidR="007C4C67">
              <w:rPr>
                <w:rFonts w:cstheme="majorHAnsi"/>
                <w:b/>
                <w:bCs/>
                <w:sz w:val="20"/>
                <w:szCs w:val="20"/>
                <w:lang w:val="fr-CA"/>
              </w:rPr>
              <w:t>oin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s</w:t>
            </w:r>
          </w:p>
          <w:p w14:paraId="0014E0D6" w14:textId="7B6061A9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Dans le cas d'une activité de groupe, l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a personne accompagnatrice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ou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le partenaire du groupe doit être formé aux premiers s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oin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 (en fonction du contexte de l'activité) et l'organisation doit fournir une trousse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premiers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s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oin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s.  </w:t>
            </w:r>
          </w:p>
          <w:p w14:paraId="3C021EA0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385DC0C5" w14:textId="0AAA3AC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Dans le cas d'une activité individuelle, les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personnes qui voyagent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doivent être formé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 aux premiers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soins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et l'organisation doit leur fournir une liste d'articles à inclure dans leur trousse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</w:p>
          <w:p w14:paraId="7FB9252C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07D6220D" w14:textId="77777777" w:rsidTr="000651FA">
        <w:tc>
          <w:tcPr>
            <w:tcW w:w="9351" w:type="dxa"/>
          </w:tcPr>
          <w:p w14:paraId="6C23D72F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Contrôle de l'information</w:t>
            </w:r>
          </w:p>
          <w:p w14:paraId="36031831" w14:textId="4FE335F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Lorsque des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personnes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sont présent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>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 dans un pays et </w:t>
            </w:r>
            <w:proofErr w:type="gramStart"/>
            <w:r w:rsidRPr="00B753A6">
              <w:rPr>
                <w:rFonts w:cstheme="majorHAnsi"/>
                <w:sz w:val="20"/>
                <w:szCs w:val="20"/>
                <w:lang w:val="fr-CA"/>
              </w:rPr>
              <w:t>une région donnés</w:t>
            </w:r>
            <w:proofErr w:type="gramEnd"/>
            <w:r w:rsidRPr="00B753A6">
              <w:rPr>
                <w:rFonts w:cstheme="majorHAnsi"/>
                <w:sz w:val="20"/>
                <w:szCs w:val="20"/>
                <w:lang w:val="fr-CA"/>
              </w:rPr>
              <w:t>, l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'organisation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doit surveiller les informations afin d'identifier les éléments/événements susceptibles d'avoir une incidence sur la sécurité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ses 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voyageuses et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voyageurs tout au long de leur séjour, en fonction du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contexte sanitaire</w:t>
            </w:r>
            <w:r w:rsidR="007C4C67">
              <w:rPr>
                <w:rFonts w:cstheme="majorHAnsi"/>
                <w:sz w:val="20"/>
                <w:szCs w:val="20"/>
                <w:lang w:val="fr-CA"/>
              </w:rPr>
              <w:t xml:space="preserve"> et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de la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sécurité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</w:p>
          <w:p w14:paraId="2FC3DBDB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152C3DB2" w14:textId="77777777" w:rsidTr="000651FA">
        <w:trPr>
          <w:trHeight w:val="340"/>
        </w:trPr>
        <w:tc>
          <w:tcPr>
            <w:tcW w:w="9351" w:type="dxa"/>
            <w:tcBorders>
              <w:left w:val="nil"/>
              <w:right w:val="nil"/>
            </w:tcBorders>
            <w:shd w:val="clear" w:color="auto" w:fill="auto"/>
          </w:tcPr>
          <w:p w14:paraId="3CE4F6C2" w14:textId="77777777" w:rsidR="00C86B99" w:rsidRPr="00B753A6" w:rsidRDefault="00C86B99" w:rsidP="000651FA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  <w:p w14:paraId="36DB467F" w14:textId="77777777" w:rsidR="00C86B99" w:rsidRPr="00B753A6" w:rsidRDefault="00C86B99" w:rsidP="000651FA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C86B99" w:rsidRPr="006601CE" w14:paraId="1F13FCD8" w14:textId="77777777" w:rsidTr="000651FA">
        <w:trPr>
          <w:trHeight w:val="340"/>
        </w:trPr>
        <w:tc>
          <w:tcPr>
            <w:tcW w:w="9351" w:type="dxa"/>
            <w:shd w:val="clear" w:color="auto" w:fill="19323B"/>
          </w:tcPr>
          <w:p w14:paraId="5D479B0C" w14:textId="77777777" w:rsidR="00224BDF" w:rsidRDefault="00897A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Gest</w:t>
            </w:r>
            <w:r>
              <w:rPr>
                <w:rFonts w:asciiTheme="minorHAnsi" w:hAnsiTheme="minorHAnsi" w:cstheme="minorHAnsi"/>
                <w:b/>
                <w:bCs/>
              </w:rPr>
              <w:t>ion de crise</w:t>
            </w:r>
          </w:p>
        </w:tc>
      </w:tr>
      <w:tr w:rsidR="00C86B99" w:rsidRPr="006246D6" w14:paraId="7DC2F9FA" w14:textId="77777777" w:rsidTr="000651FA">
        <w:trPr>
          <w:trHeight w:val="1839"/>
        </w:trPr>
        <w:tc>
          <w:tcPr>
            <w:tcW w:w="9351" w:type="dxa"/>
            <w:shd w:val="clear" w:color="auto" w:fill="EDEDED" w:themeFill="accent3" w:themeFillTint="33"/>
          </w:tcPr>
          <w:p w14:paraId="5CD7AA02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Communication</w:t>
            </w:r>
          </w:p>
          <w:p w14:paraId="58A1E9C3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L'organisation devrait disposer d'un processus de communication permettant des échanges bidirectionnels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.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Des moyens de communication adaptés au type d'activités menées et à leur localisation devraient être accessibles. </w:t>
            </w:r>
          </w:p>
          <w:p w14:paraId="5691D247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333CD1F9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 xml:space="preserve">Gestion des contacts en cas d'urgence </w:t>
            </w:r>
          </w:p>
          <w:p w14:paraId="3F5011AD" w14:textId="5A9A15CD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 doit fournir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les coordonnées des personnes à contacter en cas d'u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rgence et les procédures de communication.</w:t>
            </w:r>
          </w:p>
        </w:tc>
      </w:tr>
      <w:tr w:rsidR="00C86B99" w:rsidRPr="006246D6" w14:paraId="13DC9051" w14:textId="77777777" w:rsidTr="000651FA">
        <w:tc>
          <w:tcPr>
            <w:tcW w:w="9351" w:type="dxa"/>
          </w:tcPr>
          <w:p w14:paraId="3BFCEDBF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Accès aux 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ressources</w:t>
            </w:r>
          </w:p>
          <w:p w14:paraId="71399106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L'organisation doit disposer d'une procédure simple pour libérer les ressources humaines, financières et matérielles si nécessaire.</w:t>
            </w:r>
          </w:p>
          <w:p w14:paraId="487D8ED0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0D591C2E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0F99233C" w14:textId="77777777" w:rsidR="00224BDF" w:rsidRPr="007C4C67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7C4C67">
              <w:rPr>
                <w:rFonts w:cstheme="majorHAnsi"/>
                <w:b/>
                <w:bCs/>
                <w:sz w:val="20"/>
                <w:szCs w:val="20"/>
                <w:lang w:val="fr-CA"/>
              </w:rPr>
              <w:t>Système</w:t>
            </w:r>
            <w:r w:rsidRPr="007C4C67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 sécurisé </w:t>
            </w:r>
            <w:r w:rsidRPr="007C4C67">
              <w:rPr>
                <w:rFonts w:cstheme="majorHAnsi"/>
                <w:b/>
                <w:bCs/>
                <w:sz w:val="20"/>
                <w:szCs w:val="20"/>
                <w:lang w:val="fr-CA"/>
              </w:rPr>
              <w:t>de</w:t>
            </w:r>
            <w:r w:rsidRPr="007C4C67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 gestion de l'information </w:t>
            </w:r>
          </w:p>
          <w:p w14:paraId="00E963EE" w14:textId="065D057E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Il est recommandé à l'organisation de disposer d'un système central et sécurisé de stockage des données, car un accès rapide et pratique aux informations personnelles des </w:t>
            </w:r>
            <w:r>
              <w:rPr>
                <w:rFonts w:cstheme="majorHAnsi"/>
                <w:sz w:val="20"/>
                <w:szCs w:val="20"/>
                <w:lang w:val="fr-CA"/>
              </w:rPr>
              <w:t>personnes qui voyagent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permet de gérer efficacement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situations</w:t>
            </w:r>
            <w:r>
              <w:rPr>
                <w:rFonts w:cstheme="majorHAnsi"/>
                <w:sz w:val="20"/>
                <w:szCs w:val="20"/>
                <w:lang w:val="fr-CA"/>
              </w:rPr>
              <w:t xml:space="preserve"> non-désirées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  </w:t>
            </w:r>
          </w:p>
          <w:p w14:paraId="14AB5E9B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5D8DD816" w14:textId="77777777" w:rsidTr="000651FA">
        <w:tc>
          <w:tcPr>
            <w:tcW w:w="9351" w:type="dxa"/>
          </w:tcPr>
          <w:p w14:paraId="2E9AD4B6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Cellule de c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rise</w:t>
            </w:r>
          </w:p>
          <w:p w14:paraId="04DF0A99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La gestion de crise doit être structurée. Des ressources humaines doivent être consacrées à la gestion des crises afin de constituer une cellule de crise adaptée aux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déplacements à l'étranger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</w:p>
          <w:p w14:paraId="7BA63B73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3343A540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t>Protocole de gestion de crise</w:t>
            </w:r>
          </w:p>
          <w:p w14:paraId="45274ADC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La gestion de crise doit êt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re effectuée selon des procédures prédéterminées. Le protocole doit donc être le principal outil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la cellule de crise.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rôles et responsabilités des membres de la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cellule de crise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, la classification des niveaux d'urgence et les procédures de communica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tion doivent y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figurer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.</w:t>
            </w:r>
          </w:p>
          <w:p w14:paraId="0F6FC61F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  <w:p w14:paraId="4E1051D4" w14:textId="77777777" w:rsidR="00224BDF" w:rsidRPr="00B753A6" w:rsidRDefault="00897AB5">
            <w:pPr>
              <w:rPr>
                <w:rFonts w:cstheme="majorHAnsi"/>
                <w:i/>
                <w:i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i/>
                <w:iCs/>
                <w:sz w:val="20"/>
                <w:szCs w:val="20"/>
                <w:lang w:val="fr-CA"/>
              </w:rPr>
              <w:lastRenderedPageBreak/>
              <w:t xml:space="preserve">Procédures opérationnelles standard </w:t>
            </w:r>
          </w:p>
          <w:p w14:paraId="631FFF31" w14:textId="75B760CA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Toute organisation devrait disposer de procédures </w:t>
            </w:r>
            <w:r>
              <w:rPr>
                <w:rFonts w:cstheme="majorHAnsi"/>
                <w:sz w:val="20"/>
                <w:szCs w:val="20"/>
                <w:lang w:val="fr-CA"/>
              </w:rPr>
              <w:t xml:space="preserve">d’opération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standard (POS) pour les situations les plus susceptibles de se produire lors d'un </w:t>
            </w:r>
            <w:r>
              <w:rPr>
                <w:rFonts w:cstheme="majorHAnsi"/>
                <w:sz w:val="20"/>
                <w:szCs w:val="20"/>
                <w:lang w:val="fr-CA"/>
              </w:rPr>
              <w:t>voyage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, ainsi que pour toutes les autres situations que l'organisation juge nécessaires. Ces </w:t>
            </w:r>
            <w:r>
              <w:rPr>
                <w:rFonts w:cstheme="majorHAnsi"/>
                <w:sz w:val="20"/>
                <w:szCs w:val="20"/>
                <w:lang w:val="fr-CA"/>
              </w:rPr>
              <w:t xml:space="preserve">POS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doivent être connues de toutes les parties prenantes (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cellule de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crise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, </w:t>
            </w:r>
            <w:r>
              <w:rPr>
                <w:rFonts w:cstheme="majorHAnsi"/>
                <w:sz w:val="20"/>
                <w:szCs w:val="20"/>
                <w:lang w:val="fr-CA"/>
              </w:rPr>
              <w:t xml:space="preserve">voyageuses et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voyageurs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, partenaires, gestionnaires, etc.)</w:t>
            </w:r>
          </w:p>
        </w:tc>
      </w:tr>
      <w:tr w:rsidR="00C86B99" w:rsidRPr="006246D6" w14:paraId="09139791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25A7A34E" w14:textId="77777777" w:rsidR="00224BDF" w:rsidRPr="00B753A6" w:rsidRDefault="00897AB5">
            <w:pPr>
              <w:rPr>
                <w:rFonts w:eastAsia="Times New Roman"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eastAsia="Times New Roman" w:cstheme="majorHAnsi"/>
                <w:b/>
                <w:bCs/>
                <w:sz w:val="20"/>
                <w:szCs w:val="20"/>
                <w:lang w:val="fr-CA"/>
              </w:rPr>
              <w:lastRenderedPageBreak/>
              <w:t>Assurance</w:t>
            </w:r>
          </w:p>
          <w:p w14:paraId="2B309C9D" w14:textId="3E4D980A" w:rsidR="00224BDF" w:rsidRPr="00B753A6" w:rsidRDefault="00897AB5">
            <w:pPr>
              <w:rPr>
                <w:rFonts w:eastAsia="Times New Roman" w:cstheme="majorHAnsi"/>
                <w:sz w:val="20"/>
                <w:szCs w:val="20"/>
                <w:lang w:val="fr-CA"/>
              </w:rPr>
            </w:pPr>
            <w:r w:rsidRPr="00B753A6">
              <w:rPr>
                <w:rFonts w:eastAsia="Times New Roman" w:cstheme="majorHAnsi"/>
                <w:sz w:val="20"/>
                <w:szCs w:val="20"/>
                <w:lang w:val="fr-CA"/>
              </w:rPr>
              <w:t xml:space="preserve">L'organisation doit s'assurer que ses </w:t>
            </w:r>
            <w:r>
              <w:rPr>
                <w:rFonts w:eastAsia="Times New Roman" w:cstheme="majorHAnsi"/>
                <w:sz w:val="20"/>
                <w:szCs w:val="20"/>
                <w:lang w:val="fr-CA"/>
              </w:rPr>
              <w:t>personnes qui voyagent</w:t>
            </w:r>
            <w:r w:rsidRPr="00B753A6">
              <w:rPr>
                <w:rFonts w:eastAsia="Times New Roman" w:cstheme="majorHAnsi"/>
                <w:sz w:val="20"/>
                <w:szCs w:val="20"/>
                <w:lang w:val="fr-CA"/>
              </w:rPr>
              <w:t xml:space="preserve"> sont couvert</w:t>
            </w:r>
            <w:r>
              <w:rPr>
                <w:rFonts w:eastAsia="Times New Roman" w:cstheme="majorHAnsi"/>
                <w:sz w:val="20"/>
                <w:szCs w:val="20"/>
                <w:lang w:val="fr-CA"/>
              </w:rPr>
              <w:t>e</w:t>
            </w:r>
            <w:r w:rsidRPr="00B753A6">
              <w:rPr>
                <w:rFonts w:eastAsia="Times New Roman" w:cstheme="majorHAnsi"/>
                <w:sz w:val="20"/>
                <w:szCs w:val="20"/>
                <w:lang w:val="fr-CA"/>
              </w:rPr>
              <w:t>s par son assurance responsabilité civile et son assurance maladie</w:t>
            </w:r>
            <w:r w:rsidRPr="00B753A6">
              <w:rPr>
                <w:rFonts w:eastAsia="Times New Roman" w:cstheme="majorHAnsi"/>
                <w:sz w:val="20"/>
                <w:szCs w:val="20"/>
                <w:lang w:val="fr-CA"/>
              </w:rPr>
              <w:t>/rapatriement.</w:t>
            </w:r>
          </w:p>
          <w:p w14:paraId="02F4EC22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5260AA5C" w14:textId="77777777" w:rsidTr="000651FA">
        <w:trPr>
          <w:trHeight w:val="340"/>
        </w:trPr>
        <w:tc>
          <w:tcPr>
            <w:tcW w:w="9351" w:type="dxa"/>
            <w:tcBorders>
              <w:left w:val="nil"/>
              <w:right w:val="nil"/>
            </w:tcBorders>
            <w:shd w:val="clear" w:color="auto" w:fill="auto"/>
          </w:tcPr>
          <w:p w14:paraId="4FAA4688" w14:textId="77777777" w:rsidR="00C86B99" w:rsidRPr="00B753A6" w:rsidRDefault="00C86B99" w:rsidP="000651FA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</w:p>
        </w:tc>
      </w:tr>
      <w:tr w:rsidR="00C86B99" w:rsidRPr="006601CE" w14:paraId="4A044583" w14:textId="77777777" w:rsidTr="000651FA">
        <w:trPr>
          <w:trHeight w:val="340"/>
        </w:trPr>
        <w:tc>
          <w:tcPr>
            <w:tcW w:w="9351" w:type="dxa"/>
            <w:shd w:val="clear" w:color="auto" w:fill="19323B"/>
          </w:tcPr>
          <w:p w14:paraId="6174699B" w14:textId="77777777" w:rsidR="00224BDF" w:rsidRDefault="00897A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Suivi et évaluation </w:t>
            </w:r>
          </w:p>
        </w:tc>
      </w:tr>
      <w:tr w:rsidR="00C86B99" w:rsidRPr="006246D6" w14:paraId="4E30109B" w14:textId="77777777" w:rsidTr="000651FA">
        <w:tc>
          <w:tcPr>
            <w:tcW w:w="9351" w:type="dxa"/>
          </w:tcPr>
          <w:p w14:paraId="20EB8324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Processus de signalement des événements </w:t>
            </w:r>
          </w:p>
          <w:p w14:paraId="0612B9AC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 doit avoir mis en place un processus de signalement des événements afin d'identifier les incidents ou les accidents et leurs causes. Cela devrait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permettre de mettre en œuvre les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améliorations nécessaires pour réduire la probabilité que d'au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tres incidents se produisent ou pour mieux gérer la crise.</w:t>
            </w:r>
          </w:p>
          <w:p w14:paraId="1769BACD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3700E1F7" w14:textId="77777777" w:rsidTr="000651FA">
        <w:trPr>
          <w:trHeight w:val="786"/>
        </w:trPr>
        <w:tc>
          <w:tcPr>
            <w:tcW w:w="9351" w:type="dxa"/>
            <w:shd w:val="clear" w:color="auto" w:fill="EDEDED" w:themeFill="accent3" w:themeFillTint="33"/>
          </w:tcPr>
          <w:p w14:paraId="24F9E4C0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Processus d'évaluation des </w:t>
            </w: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activités</w:t>
            </w:r>
          </w:p>
          <w:p w14:paraId="21C95672" w14:textId="68F7E066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L'organisation doit avoir mis en place un processus d'évaluation des </w:t>
            </w:r>
            <w:r>
              <w:rPr>
                <w:rFonts w:cstheme="majorHAnsi"/>
                <w:sz w:val="20"/>
                <w:szCs w:val="20"/>
                <w:lang w:val="fr-CA"/>
              </w:rPr>
              <w:t>voyages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 dans le cadre desquelles une attention particulière est accordée à la sécurité. </w:t>
            </w:r>
          </w:p>
          <w:p w14:paraId="44060BD6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  <w:tr w:rsidR="00C86B99" w:rsidRPr="006246D6" w14:paraId="015505E9" w14:textId="77777777" w:rsidTr="000651FA">
        <w:tc>
          <w:tcPr>
            <w:tcW w:w="9351" w:type="dxa"/>
            <w:shd w:val="clear" w:color="auto" w:fill="auto"/>
          </w:tcPr>
          <w:p w14:paraId="37E996AD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 xml:space="preserve">Mécanisme d'examen des documents </w:t>
            </w:r>
          </w:p>
          <w:p w14:paraId="17462B70" w14:textId="7A487BE5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Les procédures et documents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relatifs à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 xml:space="preserve">la sécurité </w:t>
            </w:r>
            <w:r w:rsidRPr="00B753A6">
              <w:rPr>
                <w:rFonts w:cstheme="majorHAnsi"/>
                <w:sz w:val="20"/>
                <w:szCs w:val="20"/>
                <w:lang w:val="fr-CA"/>
              </w:rPr>
              <w:t>doivent être revus périodiquement.</w:t>
            </w:r>
          </w:p>
          <w:p w14:paraId="79FD3130" w14:textId="77777777" w:rsidR="00C86B99" w:rsidRPr="00B753A6" w:rsidRDefault="00C86B99" w:rsidP="000651FA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</w:p>
        </w:tc>
      </w:tr>
      <w:tr w:rsidR="00C86B99" w:rsidRPr="006246D6" w14:paraId="74559597" w14:textId="77777777" w:rsidTr="000651FA">
        <w:tc>
          <w:tcPr>
            <w:tcW w:w="9351" w:type="dxa"/>
            <w:shd w:val="clear" w:color="auto" w:fill="EDEDED" w:themeFill="accent3" w:themeFillTint="33"/>
          </w:tcPr>
          <w:p w14:paraId="35D07EB5" w14:textId="77777777" w:rsidR="00224BDF" w:rsidRPr="00B753A6" w:rsidRDefault="00897AB5">
            <w:pPr>
              <w:rPr>
                <w:rFonts w:cstheme="majorHAnsi"/>
                <w:b/>
                <w:bCs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b/>
                <w:bCs/>
                <w:sz w:val="20"/>
                <w:szCs w:val="20"/>
                <w:lang w:val="fr-CA"/>
              </w:rPr>
              <w:t>Activité de débriefing</w:t>
            </w:r>
          </w:p>
          <w:p w14:paraId="1A99AF0A" w14:textId="77777777" w:rsidR="00224BDF" w:rsidRPr="00B753A6" w:rsidRDefault="00897AB5">
            <w:pPr>
              <w:rPr>
                <w:rFonts w:cstheme="majorHAnsi"/>
                <w:sz w:val="20"/>
                <w:szCs w:val="20"/>
                <w:lang w:val="fr-CA"/>
              </w:rPr>
            </w:pPr>
            <w:r w:rsidRPr="00B753A6">
              <w:rPr>
                <w:rFonts w:cstheme="majorHAnsi"/>
                <w:sz w:val="20"/>
                <w:szCs w:val="20"/>
                <w:lang w:val="fr-CA"/>
              </w:rPr>
              <w:t>L'organisation devrait organiser une activité de retour d'information après chaque crise.</w:t>
            </w:r>
          </w:p>
          <w:p w14:paraId="14DCC3F0" w14:textId="77777777" w:rsidR="00C86B99" w:rsidRPr="00B753A6" w:rsidRDefault="00C86B99" w:rsidP="000651FA">
            <w:pPr>
              <w:rPr>
                <w:rFonts w:cstheme="majorHAnsi"/>
                <w:sz w:val="20"/>
                <w:szCs w:val="20"/>
                <w:lang w:val="fr-CA"/>
              </w:rPr>
            </w:pPr>
          </w:p>
        </w:tc>
      </w:tr>
    </w:tbl>
    <w:p w14:paraId="1258C608" w14:textId="77777777" w:rsidR="00A63AA7" w:rsidRPr="00B753A6" w:rsidRDefault="00A63AA7" w:rsidP="005D19BD"/>
    <w:sectPr w:rsidR="00A63AA7" w:rsidRPr="00B753A6" w:rsidSect="007B0252">
      <w:headerReference w:type="default" r:id="rId11"/>
      <w:footerReference w:type="default" r:id="rId12"/>
      <w:pgSz w:w="12240" w:h="15840"/>
      <w:pgMar w:top="1440" w:right="1440" w:bottom="1440" w:left="1440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4EB8" w14:textId="77777777" w:rsidR="007730F4" w:rsidRDefault="007730F4" w:rsidP="004D61C6">
      <w:pPr>
        <w:spacing w:after="0"/>
      </w:pPr>
      <w:r>
        <w:separator/>
      </w:r>
    </w:p>
  </w:endnote>
  <w:endnote w:type="continuationSeparator" w:id="0">
    <w:p w14:paraId="451B354C" w14:textId="77777777" w:rsidR="007730F4" w:rsidRDefault="007730F4" w:rsidP="004D6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9BBB" w14:textId="77777777" w:rsidR="00224BDF" w:rsidRDefault="00897AB5">
    <w:pPr>
      <w:tabs>
        <w:tab w:val="center" w:pos="4550"/>
        <w:tab w:val="left" w:pos="5818"/>
      </w:tabs>
      <w:ind w:right="260" w:firstLine="1416"/>
      <w:rPr>
        <w:color w:val="000000" w:themeColor="text1"/>
        <w:sz w:val="20"/>
        <w:szCs w:val="20"/>
      </w:rPr>
    </w:pPr>
    <w:r w:rsidRPr="000C0CB9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8240" behindDoc="0" locked="0" layoutInCell="1" allowOverlap="1" wp14:anchorId="284EF144" wp14:editId="778A7C1E">
          <wp:simplePos x="0" y="0"/>
          <wp:positionH relativeFrom="column">
            <wp:posOffset>-190500</wp:posOffset>
          </wp:positionH>
          <wp:positionV relativeFrom="paragraph">
            <wp:posOffset>-238125</wp:posOffset>
          </wp:positionV>
          <wp:extent cx="1728552" cy="571500"/>
          <wp:effectExtent l="0" t="0" r="0" b="0"/>
          <wp:wrapSquare wrapText="bothSides"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DD292017-3B52-4EFA-857E-DD46848886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DD292017-3B52-4EFA-857E-DD46848886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55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252" w:rsidRPr="007B0252">
      <w:rPr>
        <w:color w:val="000000" w:themeColor="text1"/>
        <w:sz w:val="20"/>
        <w:szCs w:val="20"/>
        <w:lang w:val="fr-FR"/>
      </w:rPr>
      <w:t xml:space="preserve">Page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PAGE 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7B0252" w:rsidRPr="007B0252">
      <w:rPr>
        <w:color w:val="000000" w:themeColor="text1"/>
        <w:sz w:val="20"/>
        <w:szCs w:val="20"/>
        <w:lang w:val="fr-FR"/>
      </w:rPr>
      <w:t xml:space="preserve"> | </w:t>
    </w:r>
    <w:r w:rsidR="007B0252" w:rsidRPr="007B0252">
      <w:rPr>
        <w:color w:val="000000" w:themeColor="text1"/>
        <w:sz w:val="20"/>
        <w:szCs w:val="20"/>
      </w:rPr>
      <w:fldChar w:fldCharType="begin"/>
    </w:r>
    <w:r w:rsidR="007B0252" w:rsidRPr="007B0252">
      <w:rPr>
        <w:color w:val="000000" w:themeColor="text1"/>
        <w:sz w:val="20"/>
        <w:szCs w:val="20"/>
      </w:rPr>
      <w:instrText>NUMPAGES  \* Arabic  \* MERGEFORMAT</w:instrText>
    </w:r>
    <w:r w:rsidR="007B0252" w:rsidRPr="007B0252">
      <w:rPr>
        <w:color w:val="000000" w:themeColor="text1"/>
        <w:sz w:val="20"/>
        <w:szCs w:val="20"/>
      </w:rPr>
      <w:fldChar w:fldCharType="separate"/>
    </w:r>
    <w:r w:rsidR="007B0252" w:rsidRPr="007B0252">
      <w:rPr>
        <w:color w:val="000000" w:themeColor="text1"/>
        <w:sz w:val="20"/>
        <w:szCs w:val="20"/>
        <w:lang w:val="fr-FR"/>
      </w:rPr>
      <w:t>1</w:t>
    </w:r>
    <w:r w:rsidR="007B0252" w:rsidRPr="007B0252">
      <w:rPr>
        <w:color w:val="000000" w:themeColor="text1"/>
        <w:sz w:val="20"/>
        <w:szCs w:val="20"/>
      </w:rPr>
      <w:fldChar w:fldCharType="end"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D19BD">
      <w:rPr>
        <w:color w:val="000000" w:themeColor="text1"/>
        <w:sz w:val="20"/>
        <w:szCs w:val="20"/>
      </w:rPr>
      <w:tab/>
    </w:r>
    <w:r w:rsidR="005C684A">
      <w:rPr>
        <w:color w:val="000000" w:themeColor="text1"/>
        <w:sz w:val="20"/>
        <w:szCs w:val="20"/>
      </w:rPr>
      <w:t xml:space="preserve">    ©Aléas_2023</w:t>
    </w:r>
  </w:p>
  <w:p w14:paraId="757A075B" w14:textId="77777777" w:rsidR="004D61C6" w:rsidRDefault="004D6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E444" w14:textId="77777777" w:rsidR="007730F4" w:rsidRDefault="007730F4" w:rsidP="004D61C6">
      <w:pPr>
        <w:spacing w:after="0"/>
      </w:pPr>
      <w:r>
        <w:separator/>
      </w:r>
    </w:p>
  </w:footnote>
  <w:footnote w:type="continuationSeparator" w:id="0">
    <w:p w14:paraId="5EAE58CA" w14:textId="77777777" w:rsidR="007730F4" w:rsidRDefault="007730F4" w:rsidP="004D61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D381" w14:textId="77777777" w:rsidR="004D61C6" w:rsidRDefault="004D61C6" w:rsidP="004D61C6">
    <w:pPr>
      <w:pStyle w:val="En-tte"/>
      <w:jc w:val="right"/>
    </w:pPr>
    <w:r>
      <w:rPr>
        <w:noProof/>
      </w:rPr>
      <w:drawing>
        <wp:inline distT="0" distB="0" distL="0" distR="0" wp14:anchorId="24800AD0" wp14:editId="5F2BA467">
          <wp:extent cx="1394348" cy="45000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4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E7E729" w14:textId="77777777" w:rsidR="004D61C6" w:rsidRDefault="004D6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745"/>
    <w:multiLevelType w:val="hybridMultilevel"/>
    <w:tmpl w:val="0D5843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6AD"/>
    <w:multiLevelType w:val="hybridMultilevel"/>
    <w:tmpl w:val="209A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336"/>
    <w:multiLevelType w:val="hybridMultilevel"/>
    <w:tmpl w:val="36EEA51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F7F"/>
    <w:multiLevelType w:val="hybridMultilevel"/>
    <w:tmpl w:val="49E413BA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197E"/>
    <w:multiLevelType w:val="hybridMultilevel"/>
    <w:tmpl w:val="76AAD1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1806"/>
    <w:multiLevelType w:val="hybridMultilevel"/>
    <w:tmpl w:val="BC8237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340"/>
    <w:multiLevelType w:val="hybridMultilevel"/>
    <w:tmpl w:val="DF4AC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645"/>
    <w:multiLevelType w:val="hybridMultilevel"/>
    <w:tmpl w:val="8AB6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2FA"/>
    <w:multiLevelType w:val="hybridMultilevel"/>
    <w:tmpl w:val="FED01136"/>
    <w:lvl w:ilvl="0" w:tplc="B5AC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4060"/>
    <w:multiLevelType w:val="hybridMultilevel"/>
    <w:tmpl w:val="D2581B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61C18"/>
    <w:multiLevelType w:val="hybridMultilevel"/>
    <w:tmpl w:val="FDBCC02C"/>
    <w:lvl w:ilvl="0" w:tplc="EB14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A7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4B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E9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E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4D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591D52"/>
    <w:multiLevelType w:val="hybridMultilevel"/>
    <w:tmpl w:val="1E60D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64BD0"/>
    <w:multiLevelType w:val="hybridMultilevel"/>
    <w:tmpl w:val="4A10A9A0"/>
    <w:lvl w:ilvl="0" w:tplc="116EF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805AA"/>
    <w:multiLevelType w:val="hybridMultilevel"/>
    <w:tmpl w:val="DB3052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982"/>
    <w:multiLevelType w:val="hybridMultilevel"/>
    <w:tmpl w:val="E23CBA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6C4"/>
    <w:multiLevelType w:val="hybridMultilevel"/>
    <w:tmpl w:val="7728CC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3FD5"/>
    <w:multiLevelType w:val="hybridMultilevel"/>
    <w:tmpl w:val="49AE1A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5F20"/>
    <w:multiLevelType w:val="hybridMultilevel"/>
    <w:tmpl w:val="43E0497E"/>
    <w:lvl w:ilvl="0" w:tplc="F3E8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4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A7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4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E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2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645F27"/>
    <w:multiLevelType w:val="hybridMultilevel"/>
    <w:tmpl w:val="29B448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7812"/>
    <w:multiLevelType w:val="hybridMultilevel"/>
    <w:tmpl w:val="3F10B1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A4DBB"/>
    <w:multiLevelType w:val="hybridMultilevel"/>
    <w:tmpl w:val="66206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5E30"/>
    <w:multiLevelType w:val="hybridMultilevel"/>
    <w:tmpl w:val="4E8251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0560A"/>
    <w:multiLevelType w:val="hybridMultilevel"/>
    <w:tmpl w:val="EBACA772"/>
    <w:lvl w:ilvl="0" w:tplc="3424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E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EB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2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A6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662261"/>
    <w:multiLevelType w:val="hybridMultilevel"/>
    <w:tmpl w:val="05B2EFFC"/>
    <w:lvl w:ilvl="0" w:tplc="8E9C8322">
      <w:start w:val="1"/>
      <w:numFmt w:val="bullet"/>
      <w:lvlText w:val="-"/>
      <w:lvlJc w:val="left"/>
      <w:pPr>
        <w:ind w:left="2160" w:hanging="360"/>
      </w:pPr>
      <w:rPr>
        <w:rFonts w:ascii="Calibri Light" w:hAnsi="Calibri Light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1117841">
    <w:abstractNumId w:val="3"/>
  </w:num>
  <w:num w:numId="2" w16cid:durableId="2021541190">
    <w:abstractNumId w:val="2"/>
  </w:num>
  <w:num w:numId="3" w16cid:durableId="1770660024">
    <w:abstractNumId w:val="8"/>
  </w:num>
  <w:num w:numId="4" w16cid:durableId="2058508281">
    <w:abstractNumId w:val="23"/>
  </w:num>
  <w:num w:numId="5" w16cid:durableId="1449351453">
    <w:abstractNumId w:val="12"/>
  </w:num>
  <w:num w:numId="6" w16cid:durableId="2097901590">
    <w:abstractNumId w:val="4"/>
  </w:num>
  <w:num w:numId="7" w16cid:durableId="8410593">
    <w:abstractNumId w:val="6"/>
  </w:num>
  <w:num w:numId="8" w16cid:durableId="664086173">
    <w:abstractNumId w:val="11"/>
  </w:num>
  <w:num w:numId="9" w16cid:durableId="1368219520">
    <w:abstractNumId w:val="16"/>
  </w:num>
  <w:num w:numId="10" w16cid:durableId="913852206">
    <w:abstractNumId w:val="22"/>
  </w:num>
  <w:num w:numId="11" w16cid:durableId="391119766">
    <w:abstractNumId w:val="17"/>
  </w:num>
  <w:num w:numId="12" w16cid:durableId="1374421223">
    <w:abstractNumId w:val="10"/>
  </w:num>
  <w:num w:numId="13" w16cid:durableId="82384840">
    <w:abstractNumId w:val="20"/>
  </w:num>
  <w:num w:numId="14" w16cid:durableId="626935227">
    <w:abstractNumId w:val="18"/>
  </w:num>
  <w:num w:numId="15" w16cid:durableId="648093783">
    <w:abstractNumId w:val="13"/>
  </w:num>
  <w:num w:numId="16" w16cid:durableId="371730364">
    <w:abstractNumId w:val="21"/>
  </w:num>
  <w:num w:numId="17" w16cid:durableId="139662378">
    <w:abstractNumId w:val="14"/>
  </w:num>
  <w:num w:numId="18" w16cid:durableId="2012371461">
    <w:abstractNumId w:val="9"/>
  </w:num>
  <w:num w:numId="19" w16cid:durableId="1417441752">
    <w:abstractNumId w:val="0"/>
  </w:num>
  <w:num w:numId="20" w16cid:durableId="1701931809">
    <w:abstractNumId w:val="19"/>
  </w:num>
  <w:num w:numId="21" w16cid:durableId="589892147">
    <w:abstractNumId w:val="7"/>
  </w:num>
  <w:num w:numId="22" w16cid:durableId="1959287776">
    <w:abstractNumId w:val="1"/>
  </w:num>
  <w:num w:numId="23" w16cid:durableId="1474903077">
    <w:abstractNumId w:val="5"/>
  </w:num>
  <w:num w:numId="24" w16cid:durableId="12043210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C6"/>
    <w:rsid w:val="000178F7"/>
    <w:rsid w:val="0003205A"/>
    <w:rsid w:val="00046531"/>
    <w:rsid w:val="00070640"/>
    <w:rsid w:val="0007438D"/>
    <w:rsid w:val="00091DD5"/>
    <w:rsid w:val="000B22CF"/>
    <w:rsid w:val="000C0CB9"/>
    <w:rsid w:val="000C5E1D"/>
    <w:rsid w:val="000E387C"/>
    <w:rsid w:val="000F12C1"/>
    <w:rsid w:val="00103686"/>
    <w:rsid w:val="001067A1"/>
    <w:rsid w:val="0018308F"/>
    <w:rsid w:val="0018502A"/>
    <w:rsid w:val="001B7421"/>
    <w:rsid w:val="001C1499"/>
    <w:rsid w:val="001C576D"/>
    <w:rsid w:val="001F124F"/>
    <w:rsid w:val="002079F0"/>
    <w:rsid w:val="00224BDF"/>
    <w:rsid w:val="002256EB"/>
    <w:rsid w:val="002611A0"/>
    <w:rsid w:val="0028016F"/>
    <w:rsid w:val="00291576"/>
    <w:rsid w:val="002A13AE"/>
    <w:rsid w:val="002E3B7C"/>
    <w:rsid w:val="002F2015"/>
    <w:rsid w:val="00380895"/>
    <w:rsid w:val="003A5AAB"/>
    <w:rsid w:val="003C1398"/>
    <w:rsid w:val="003D1A27"/>
    <w:rsid w:val="003E1C11"/>
    <w:rsid w:val="00455B5A"/>
    <w:rsid w:val="00463D9B"/>
    <w:rsid w:val="0049685B"/>
    <w:rsid w:val="004A0D90"/>
    <w:rsid w:val="004D3E51"/>
    <w:rsid w:val="004D612D"/>
    <w:rsid w:val="004D61C6"/>
    <w:rsid w:val="004E1D11"/>
    <w:rsid w:val="00501893"/>
    <w:rsid w:val="00501CFE"/>
    <w:rsid w:val="005428FA"/>
    <w:rsid w:val="00564733"/>
    <w:rsid w:val="005654F9"/>
    <w:rsid w:val="00571B08"/>
    <w:rsid w:val="005726DE"/>
    <w:rsid w:val="00572C61"/>
    <w:rsid w:val="005C684A"/>
    <w:rsid w:val="005D19BD"/>
    <w:rsid w:val="006239DA"/>
    <w:rsid w:val="006270B8"/>
    <w:rsid w:val="006439D9"/>
    <w:rsid w:val="00664A2F"/>
    <w:rsid w:val="0068013A"/>
    <w:rsid w:val="006A2B85"/>
    <w:rsid w:val="006A5E79"/>
    <w:rsid w:val="006C0CC4"/>
    <w:rsid w:val="006C0F4C"/>
    <w:rsid w:val="006E2EA0"/>
    <w:rsid w:val="007000E2"/>
    <w:rsid w:val="0070077E"/>
    <w:rsid w:val="007009ED"/>
    <w:rsid w:val="007122BA"/>
    <w:rsid w:val="00730F61"/>
    <w:rsid w:val="00731C1B"/>
    <w:rsid w:val="007730F4"/>
    <w:rsid w:val="00783C18"/>
    <w:rsid w:val="007A6D7C"/>
    <w:rsid w:val="007B0252"/>
    <w:rsid w:val="007B5413"/>
    <w:rsid w:val="007B6B22"/>
    <w:rsid w:val="007C4C67"/>
    <w:rsid w:val="007D1510"/>
    <w:rsid w:val="007E798B"/>
    <w:rsid w:val="00801185"/>
    <w:rsid w:val="00817874"/>
    <w:rsid w:val="00824918"/>
    <w:rsid w:val="008375FD"/>
    <w:rsid w:val="008537B0"/>
    <w:rsid w:val="008565F0"/>
    <w:rsid w:val="00875977"/>
    <w:rsid w:val="00893FF4"/>
    <w:rsid w:val="00897AB5"/>
    <w:rsid w:val="008D6850"/>
    <w:rsid w:val="00931F87"/>
    <w:rsid w:val="0093765A"/>
    <w:rsid w:val="00941F0C"/>
    <w:rsid w:val="009737EE"/>
    <w:rsid w:val="009A267E"/>
    <w:rsid w:val="009A32A3"/>
    <w:rsid w:val="009A34E8"/>
    <w:rsid w:val="009A4F9B"/>
    <w:rsid w:val="009B3115"/>
    <w:rsid w:val="009B6167"/>
    <w:rsid w:val="009D72B4"/>
    <w:rsid w:val="009E74FD"/>
    <w:rsid w:val="009F3E76"/>
    <w:rsid w:val="00A008BC"/>
    <w:rsid w:val="00A0715C"/>
    <w:rsid w:val="00A27D5E"/>
    <w:rsid w:val="00A43963"/>
    <w:rsid w:val="00A63AA7"/>
    <w:rsid w:val="00AA4878"/>
    <w:rsid w:val="00AD4650"/>
    <w:rsid w:val="00AF568E"/>
    <w:rsid w:val="00AF59EF"/>
    <w:rsid w:val="00AF7747"/>
    <w:rsid w:val="00B528E3"/>
    <w:rsid w:val="00B70A02"/>
    <w:rsid w:val="00B753A6"/>
    <w:rsid w:val="00B84D53"/>
    <w:rsid w:val="00BA5AB7"/>
    <w:rsid w:val="00C22CA2"/>
    <w:rsid w:val="00C46969"/>
    <w:rsid w:val="00C64667"/>
    <w:rsid w:val="00C86B99"/>
    <w:rsid w:val="00C95127"/>
    <w:rsid w:val="00C96086"/>
    <w:rsid w:val="00CD533B"/>
    <w:rsid w:val="00CD6E52"/>
    <w:rsid w:val="00CD76BC"/>
    <w:rsid w:val="00D00266"/>
    <w:rsid w:val="00D14D34"/>
    <w:rsid w:val="00D17F38"/>
    <w:rsid w:val="00D33376"/>
    <w:rsid w:val="00D33DA8"/>
    <w:rsid w:val="00D96D09"/>
    <w:rsid w:val="00DB4659"/>
    <w:rsid w:val="00DC79A3"/>
    <w:rsid w:val="00DD0905"/>
    <w:rsid w:val="00DD487E"/>
    <w:rsid w:val="00DF20CD"/>
    <w:rsid w:val="00E2744C"/>
    <w:rsid w:val="00E346A3"/>
    <w:rsid w:val="00E34DDF"/>
    <w:rsid w:val="00E6431C"/>
    <w:rsid w:val="00E745A9"/>
    <w:rsid w:val="00E75B07"/>
    <w:rsid w:val="00EE43CD"/>
    <w:rsid w:val="00F21C84"/>
    <w:rsid w:val="00F45799"/>
    <w:rsid w:val="00F46074"/>
    <w:rsid w:val="00F643DD"/>
    <w:rsid w:val="00F94359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90C408"/>
  <w15:chartTrackingRefBased/>
  <w15:docId w15:val="{1C117680-9B85-4FDC-B8F2-0FDA35C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52"/>
    <w:pPr>
      <w:spacing w:line="240" w:lineRule="auto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7B0252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aps/>
      <w:color w:val="19323B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56C9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color w:val="33BD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56C9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33BDBD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B56C9"/>
    <w:pPr>
      <w:keepNext/>
      <w:keepLines/>
      <w:spacing w:before="40" w:after="0"/>
      <w:outlineLvl w:val="3"/>
    </w:pPr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56C9"/>
    <w:rPr>
      <w:rFonts w:ascii="Calibri" w:eastAsiaTheme="majorEastAsia" w:hAnsi="Calibri" w:cstheme="majorBidi"/>
      <w:b/>
      <w:color w:val="33BDBD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B0252"/>
    <w:rPr>
      <w:rFonts w:eastAsiaTheme="majorEastAsia" w:cstheme="majorBidi"/>
      <w:b/>
      <w:caps/>
      <w:color w:val="19323B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56C9"/>
    <w:rPr>
      <w:rFonts w:ascii="Calibri" w:eastAsiaTheme="majorEastAsia" w:hAnsi="Calibri" w:cstheme="majorBidi"/>
      <w:i/>
      <w:color w:val="33BDBD"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B56C9"/>
    <w:rPr>
      <w:rFonts w:ascii="Source Sans Pro Light" w:eastAsiaTheme="majorEastAsia" w:hAnsi="Source Sans Pro Light" w:cstheme="majorBidi"/>
      <w:b/>
      <w:iCs/>
      <w:color w:val="000000" w:themeColor="text1"/>
      <w:sz w:val="20"/>
      <w:u w:val="single"/>
    </w:rPr>
  </w:style>
  <w:style w:type="paragraph" w:styleId="Titre">
    <w:name w:val="Title"/>
    <w:basedOn w:val="Normal"/>
    <w:next w:val="Normal"/>
    <w:link w:val="TitreCar"/>
    <w:qFormat/>
    <w:rsid w:val="00E346A3"/>
    <w:pPr>
      <w:pBdr>
        <w:bottom w:val="single" w:sz="8" w:space="4" w:color="4472C4" w:themeColor="accent1"/>
      </w:pBdr>
      <w:spacing w:after="300"/>
      <w:contextualSpacing/>
      <w:jc w:val="left"/>
    </w:pPr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rsid w:val="00E346A3"/>
    <w:rPr>
      <w:rFonts w:ascii="Source Sans Pro SemiBold" w:eastAsiaTheme="majorEastAsia" w:hAnsi="Source Sans Pro SemiBold" w:cstheme="majorBidi"/>
      <w:caps/>
      <w:color w:val="19323B"/>
      <w:spacing w:val="5"/>
      <w:kern w:val="28"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D61C6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4D61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D61C6"/>
    <w:rPr>
      <w:rFonts w:asciiTheme="majorHAnsi" w:hAnsiTheme="majorHAnsi"/>
    </w:rPr>
  </w:style>
  <w:style w:type="character" w:styleId="Marquedecommentaire">
    <w:name w:val="annotation reference"/>
    <w:basedOn w:val="Policepardfaut"/>
    <w:uiPriority w:val="99"/>
    <w:semiHidden/>
    <w:unhideWhenUsed/>
    <w:rsid w:val="007B02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2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25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2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252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5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6531"/>
    <w:pPr>
      <w:spacing w:line="276" w:lineRule="auto"/>
      <w:ind w:left="720"/>
      <w:contextualSpacing/>
    </w:pPr>
    <w:rPr>
      <w:rFonts w:ascii="Source Sans Pro Light" w:hAnsi="Source Sans Pro Light"/>
    </w:rPr>
  </w:style>
  <w:style w:type="paragraph" w:customStyle="1" w:styleId="Standard">
    <w:name w:val="Standard"/>
    <w:rsid w:val="007E798B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0C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0CD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20CD"/>
    <w:rPr>
      <w:vertAlign w:val="superscript"/>
    </w:rPr>
  </w:style>
  <w:style w:type="table" w:styleId="Grilledutableau">
    <w:name w:val="Table Grid"/>
    <w:aliases w:val="CdA Tableau"/>
    <w:basedOn w:val="TableauNormal"/>
    <w:uiPriority w:val="39"/>
    <w:rsid w:val="002E3B7C"/>
    <w:pPr>
      <w:spacing w:after="0" w:line="240" w:lineRule="auto"/>
      <w:jc w:val="left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E3B7C"/>
    <w:pPr>
      <w:spacing w:after="0" w:line="240" w:lineRule="auto"/>
      <w:jc w:val="left"/>
    </w:pPr>
    <w:rPr>
      <w:rFonts w:ascii="Palatino" w:eastAsia="Times New Roman" w:hAnsi="Palatino" w:cs="Times New Roman"/>
      <w:sz w:val="19"/>
      <w:szCs w:val="20"/>
      <w:lang w:val="en-US"/>
    </w:rPr>
  </w:style>
  <w:style w:type="paragraph" w:customStyle="1" w:styleId="CdAadresse">
    <w:name w:val="CdA adresse"/>
    <w:link w:val="CdAadresseChar"/>
    <w:rsid w:val="002E3B7C"/>
    <w:pPr>
      <w:spacing w:before="120" w:after="120" w:line="240" w:lineRule="auto"/>
      <w:contextualSpacing/>
      <w:jc w:val="left"/>
    </w:pPr>
    <w:rPr>
      <w:rFonts w:ascii="Helvetica" w:eastAsia="Times New Roman" w:hAnsi="Helvetica" w:cs="Times New Roman"/>
      <w:szCs w:val="24"/>
    </w:rPr>
  </w:style>
  <w:style w:type="character" w:customStyle="1" w:styleId="CdAadresseChar">
    <w:name w:val="CdA adresse Char"/>
    <w:link w:val="CdAadresse"/>
    <w:rsid w:val="002E3B7C"/>
    <w:rPr>
      <w:rFonts w:ascii="Helvetica" w:eastAsia="Times New Roman" w:hAnsi="Helvetica" w:cs="Times New Roman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A43963"/>
    <w:rPr>
      <w:rFonts w:ascii="Source Sans Pro Light" w:hAnsi="Source Sans Pro Light"/>
    </w:rPr>
  </w:style>
  <w:style w:type="character" w:styleId="Hyperlien">
    <w:name w:val="Hyperlink"/>
    <w:basedOn w:val="Policepardfaut"/>
    <w:uiPriority w:val="99"/>
    <w:unhideWhenUsed/>
    <w:rsid w:val="00501893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01893"/>
    <w:pPr>
      <w:outlineLvl w:val="9"/>
    </w:pPr>
    <w:rPr>
      <w:rFonts w:cstheme="majorHAnsi"/>
      <w:szCs w:val="28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01893"/>
    <w:pPr>
      <w:spacing w:before="120" w:after="120"/>
      <w:jc w:val="left"/>
    </w:pPr>
    <w:rPr>
      <w:rFonts w:eastAsia="Times New Roman" w:cstheme="minorHAnsi"/>
      <w:bCs/>
      <w:caps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01893"/>
    <w:pPr>
      <w:spacing w:after="0"/>
      <w:ind w:left="220"/>
      <w:jc w:val="left"/>
    </w:pPr>
    <w:rPr>
      <w:rFonts w:ascii="Calibri Light" w:eastAsia="Times New Roman" w:hAnsi="Calibri Light" w:cstheme="minorHAnsi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501893"/>
    <w:pPr>
      <w:spacing w:after="0"/>
      <w:ind w:left="440"/>
      <w:jc w:val="left"/>
    </w:pPr>
    <w:rPr>
      <w:rFonts w:ascii="Calibri Light" w:eastAsia="Times New Roman" w:hAnsi="Calibri Light" w:cstheme="minorHAnsi"/>
      <w:iCs/>
      <w:sz w:val="20"/>
      <w:szCs w:val="20"/>
      <w:lang w:eastAsia="fr-FR"/>
    </w:rPr>
  </w:style>
  <w:style w:type="character" w:customStyle="1" w:styleId="tlid-translation">
    <w:name w:val="tlid-translation"/>
    <w:basedOn w:val="Policepardfaut"/>
    <w:rsid w:val="009B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94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96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19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96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074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76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80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45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1ece0-e1a6-4f4b-9896-831d7900e9a0" xsi:nil="true"/>
    <lcf76f155ced4ddcb4097134ff3c332f xmlns="98bd0af6-6791-4a26-a7f9-35089e1c151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98bd0af6-6791-4a26-a7f9-35089e1c15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3FBA704BEFD44A42BCD3A40B703C7" ma:contentTypeVersion="17" ma:contentTypeDescription="Create a new document." ma:contentTypeScope="" ma:versionID="56b935fe0d6a7b14c67963d4c956771b">
  <xsd:schema xmlns:xsd="http://www.w3.org/2001/XMLSchema" xmlns:xs="http://www.w3.org/2001/XMLSchema" xmlns:p="http://schemas.microsoft.com/office/2006/metadata/properties" xmlns:ns1="http://schemas.microsoft.com/sharepoint/v3" xmlns:ns2="0f21ece0-e1a6-4f4b-9896-831d7900e9a0" xmlns:ns3="98bd0af6-6791-4a26-a7f9-35089e1c151e" targetNamespace="http://schemas.microsoft.com/office/2006/metadata/properties" ma:root="true" ma:fieldsID="465690ea0cd2af5aa0eb56317374e749" ns1:_="" ns2:_="" ns3:_="">
    <xsd:import namespace="http://schemas.microsoft.com/sharepoint/v3"/>
    <xsd:import namespace="0f21ece0-e1a6-4f4b-9896-831d7900e9a0"/>
    <xsd:import namespace="98bd0af6-6791-4a26-a7f9-35089e1c15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ece0-e1a6-4f4b-9896-831d7900e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575d37-da51-4c4b-be09-d78eb8ba3515}" ma:internalName="TaxCatchAll" ma:showField="CatchAllData" ma:web="0f21ece0-e1a6-4f4b-9896-831d7900e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d0af6-6791-4a26-a7f9-35089e1c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9528ec-ec9e-457b-9785-3521c1b75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4C6E2-5BA4-4051-9FC0-C1280E32F43F}">
  <ds:schemaRefs>
    <ds:schemaRef ds:uri="http://schemas.microsoft.com/office/2006/metadata/properties"/>
    <ds:schemaRef ds:uri="http://schemas.microsoft.com/office/infopath/2007/PartnerControls"/>
    <ds:schemaRef ds:uri="0f21ece0-e1a6-4f4b-9896-831d7900e9a0"/>
    <ds:schemaRef ds:uri="98bd0af6-6791-4a26-a7f9-35089e1c151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9A0642-4632-44E7-8C25-CBDBABAC5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96F09-7ED8-47DB-9E84-8927DA9E2CA1}"/>
</file>

<file path=customXml/itemProps4.xml><?xml version="1.0" encoding="utf-8"?>
<ds:datastoreItem xmlns:ds="http://schemas.openxmlformats.org/officeDocument/2006/customXml" ds:itemID="{DF5FB211-EACC-48B9-A35A-0C09A42A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Boislard</dc:creator>
  <cp:keywords>, docId:313E96F0726ADC81E665263888CFD939</cp:keywords>
  <dc:description/>
  <cp:lastModifiedBy>Marie-Claude Du Cap</cp:lastModifiedBy>
  <cp:revision>8</cp:revision>
  <dcterms:created xsi:type="dcterms:W3CDTF">2023-10-04T11:23:00Z</dcterms:created>
  <dcterms:modified xsi:type="dcterms:W3CDTF">2023-10-04T11:34:00Z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0x010100BC33FBA704BEFD44A42BCD3A40B703C7</vt:lpwstr>
  </property>
  <property fmtid="{D5CDD505-2E9C-101B-9397-08002B2CF9AE}" pid="3" name="MediaServiceImageTags">
    <vt:lpwstr/>
  </property>
</Properties>
</file>